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yellow"/>
          <w:rtl w:val="0"/>
        </w:rPr>
        <w:t xml:space="preserve">five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million pounds (£</w:t>
      </w:r>
      <w:r w:rsidDel="00000000" w:rsidR="00000000" w:rsidRPr="00000000">
        <w:rPr>
          <w:rFonts w:ascii="Arial" w:cs="Arial" w:eastAsia="Arial" w:hAnsi="Arial"/>
          <w:sz w:val="24"/>
          <w:szCs w:val="24"/>
          <w:highlight w:val="yellow"/>
          <w:rtl w:val="0"/>
        </w:rPr>
        <w:t xml:space="preserve">5</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,000,000); </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yellow"/>
          <w:rtl w:val="0"/>
        </w:rPr>
        <w:t xml:space="preserve">five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million pounds (£</w:t>
      </w:r>
      <w:r w:rsidDel="00000000" w:rsidR="00000000" w:rsidRPr="00000000">
        <w:rPr>
          <w:rFonts w:ascii="Arial" w:cs="Arial" w:eastAsia="Arial" w:hAnsi="Arial"/>
          <w:sz w:val="24"/>
          <w:szCs w:val="24"/>
          <w:highlight w:val="yellow"/>
          <w:rtl w:val="0"/>
        </w:rPr>
        <w:t xml:space="preserve">5</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,000,000); and</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yellow"/>
          <w:rtl w:val="0"/>
        </w:rPr>
        <w:t xml:space="preserve">five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million pounds (£</w:t>
      </w:r>
      <w:r w:rsidDel="00000000" w:rsidR="00000000" w:rsidRPr="00000000">
        <w:rPr>
          <w:rFonts w:ascii="Arial" w:cs="Arial" w:eastAsia="Arial" w:hAnsi="Arial"/>
          <w:sz w:val="24"/>
          <w:szCs w:val="24"/>
          <w:highlight w:val="yellow"/>
          <w:rtl w:val="0"/>
        </w:rPr>
        <w:t xml:space="preserve">5</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,000,000). </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jc w:val="left"/>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adjust the above as required for your procurement and add any other insurance required for the framework tender. Note that this is not the place for Additional Insurances – they are specified in the Order Form by the Buyer</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                                           </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TXJnJUtZbsYjcUVe4xU3iEI5eA==">AMUW2mUWcZWm7do/3bOjpuYrV3WjlUxXuPMhjXtaDgBf71LHXGUKRnDIWyfpHU4ly8wxcqpjXjLzNCxwkpCTaOjZSOyjjZF5UIjuhTbtZGToEQ1iqMwzMWxh5ldD3SVUyCc7p7Mqllcl0xFAUKCngEsec4P0b21ws8vcEoSR7Il3beb2GfpbYgI=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